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5575EA" w:rsidTr="005575EA">
        <w:tc>
          <w:tcPr>
            <w:tcW w:w="271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Titlu</w:t>
            </w:r>
            <w:r w:rsidRPr="005575EA">
              <w:rPr>
                <w:b/>
                <w:sz w:val="26"/>
                <w:szCs w:val="26"/>
              </w:rPr>
              <w:t xml:space="preserve"> proiect (Rom</w:t>
            </w:r>
            <w:r w:rsidRPr="005575EA">
              <w:rPr>
                <w:b/>
                <w:sz w:val="26"/>
                <w:szCs w:val="26"/>
                <w:lang w:val="ro-RO"/>
              </w:rPr>
              <w:t>ână</w:t>
            </w:r>
            <w:r w:rsidRPr="005575E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85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 w:rsidRPr="005575EA">
              <w:rPr>
                <w:b/>
                <w:sz w:val="26"/>
                <w:szCs w:val="26"/>
              </w:rPr>
              <w:t>Securitatea cibernetică și reziliența infrastructurilor critice</w:t>
            </w:r>
          </w:p>
        </w:tc>
      </w:tr>
      <w:tr w:rsidR="005575EA" w:rsidTr="005575EA">
        <w:tc>
          <w:tcPr>
            <w:tcW w:w="271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Titlu</w:t>
            </w:r>
            <w:r w:rsidRPr="005575EA">
              <w:rPr>
                <w:b/>
                <w:sz w:val="26"/>
                <w:szCs w:val="26"/>
              </w:rPr>
              <w:t xml:space="preserve"> proiect (Engleză)</w:t>
            </w:r>
          </w:p>
        </w:tc>
        <w:tc>
          <w:tcPr>
            <w:tcW w:w="685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 w:rsidRPr="005575EA">
              <w:rPr>
                <w:b/>
                <w:sz w:val="26"/>
                <w:szCs w:val="26"/>
              </w:rPr>
              <w:t>Cyber security and resilience of networked critical infrastructures</w:t>
            </w:r>
          </w:p>
        </w:tc>
      </w:tr>
      <w:tr w:rsidR="005575EA" w:rsidTr="005575EA">
        <w:tc>
          <w:tcPr>
            <w:tcW w:w="271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 w:rsidRPr="005575EA">
              <w:rPr>
                <w:b/>
                <w:sz w:val="26"/>
                <w:szCs w:val="26"/>
              </w:rPr>
              <w:t>Acronim</w:t>
            </w:r>
          </w:p>
        </w:tc>
        <w:tc>
          <w:tcPr>
            <w:tcW w:w="685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 w:rsidRPr="005575EA">
              <w:rPr>
                <w:b/>
                <w:sz w:val="26"/>
                <w:szCs w:val="26"/>
              </w:rPr>
              <w:t>SERENITI</w:t>
            </w:r>
          </w:p>
        </w:tc>
      </w:tr>
      <w:tr w:rsidR="005575EA" w:rsidTr="005575EA">
        <w:tc>
          <w:tcPr>
            <w:tcW w:w="271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 w:rsidRPr="005575EA">
              <w:rPr>
                <w:b/>
                <w:sz w:val="26"/>
                <w:szCs w:val="26"/>
              </w:rPr>
              <w:t xml:space="preserve">Nr. </w:t>
            </w:r>
            <w:r>
              <w:rPr>
                <w:b/>
                <w:sz w:val="26"/>
                <w:szCs w:val="26"/>
              </w:rPr>
              <w:t>contract</w:t>
            </w:r>
          </w:p>
        </w:tc>
        <w:tc>
          <w:tcPr>
            <w:tcW w:w="685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PCIG14-GA-2013-631128</w:t>
            </w:r>
          </w:p>
        </w:tc>
      </w:tr>
      <w:tr w:rsidR="005575EA" w:rsidTr="005575EA">
        <w:tc>
          <w:tcPr>
            <w:tcW w:w="271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Finanțator</w:t>
            </w:r>
          </w:p>
        </w:tc>
        <w:tc>
          <w:tcPr>
            <w:tcW w:w="6858" w:type="dxa"/>
          </w:tcPr>
          <w:p w:rsid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Seventh Framework Programme of the European Union</w:t>
            </w:r>
          </w:p>
        </w:tc>
      </w:tr>
      <w:tr w:rsidR="00F11AEB" w:rsidTr="005575EA">
        <w:tc>
          <w:tcPr>
            <w:tcW w:w="2718" w:type="dxa"/>
          </w:tcPr>
          <w:p w:rsidR="00F11AEB" w:rsidRDefault="00F11AEB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Program</w:t>
            </w:r>
          </w:p>
        </w:tc>
        <w:tc>
          <w:tcPr>
            <w:tcW w:w="6858" w:type="dxa"/>
          </w:tcPr>
          <w:p w:rsidR="00F11AEB" w:rsidRDefault="00F11AEB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Marie Curie Career Integration Grant (CIG)</w:t>
            </w:r>
          </w:p>
        </w:tc>
      </w:tr>
      <w:tr w:rsidR="005575EA" w:rsidTr="005575EA">
        <w:tc>
          <w:tcPr>
            <w:tcW w:w="2718" w:type="dxa"/>
          </w:tcPr>
          <w:p w:rsidR="005575EA" w:rsidRPr="005575EA" w:rsidRDefault="005575EA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Director proiect</w:t>
            </w:r>
          </w:p>
        </w:tc>
        <w:tc>
          <w:tcPr>
            <w:tcW w:w="6858" w:type="dxa"/>
          </w:tcPr>
          <w:p w:rsidR="005575EA" w:rsidRPr="005575EA" w:rsidRDefault="00B37140" w:rsidP="00B93B9C">
            <w:pPr>
              <w:spacing w:before="60" w:after="60"/>
              <w:rPr>
                <w:b/>
                <w:sz w:val="26"/>
                <w:szCs w:val="26"/>
                <w:lang w:val="hu-HU"/>
              </w:rPr>
            </w:pPr>
            <w:r>
              <w:rPr>
                <w:b/>
                <w:sz w:val="26"/>
                <w:szCs w:val="26"/>
              </w:rPr>
              <w:t>Conf.</w:t>
            </w:r>
            <w:r w:rsidR="005575EA">
              <w:rPr>
                <w:b/>
                <w:sz w:val="26"/>
                <w:szCs w:val="26"/>
              </w:rPr>
              <w:t xml:space="preserve"> dr.ing. GENGE B</w:t>
            </w:r>
            <w:r w:rsidR="005575EA">
              <w:rPr>
                <w:b/>
                <w:sz w:val="26"/>
                <w:szCs w:val="26"/>
                <w:lang w:val="hu-HU"/>
              </w:rPr>
              <w:t>éla</w:t>
            </w:r>
          </w:p>
        </w:tc>
      </w:tr>
      <w:tr w:rsidR="00B93B9C" w:rsidTr="005575EA">
        <w:tc>
          <w:tcPr>
            <w:tcW w:w="2718" w:type="dxa"/>
          </w:tcPr>
          <w:p w:rsidR="00B93B9C" w:rsidRDefault="00B93B9C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începere</w:t>
            </w:r>
          </w:p>
        </w:tc>
        <w:tc>
          <w:tcPr>
            <w:tcW w:w="6858" w:type="dxa"/>
          </w:tcPr>
          <w:p w:rsidR="00B93B9C" w:rsidRDefault="00B93B9C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Martie 2014</w:t>
            </w:r>
          </w:p>
        </w:tc>
      </w:tr>
      <w:tr w:rsidR="00B93B9C" w:rsidTr="005575EA">
        <w:tc>
          <w:tcPr>
            <w:tcW w:w="2718" w:type="dxa"/>
          </w:tcPr>
          <w:p w:rsidR="00B93B9C" w:rsidRDefault="00B93B9C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terminare</w:t>
            </w:r>
          </w:p>
        </w:tc>
        <w:tc>
          <w:tcPr>
            <w:tcW w:w="6858" w:type="dxa"/>
          </w:tcPr>
          <w:p w:rsidR="00B93B9C" w:rsidRDefault="00B93B9C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Februarie 2018</w:t>
            </w:r>
          </w:p>
        </w:tc>
      </w:tr>
      <w:tr w:rsidR="00F11AEB" w:rsidTr="005575EA">
        <w:tc>
          <w:tcPr>
            <w:tcW w:w="2718" w:type="dxa"/>
          </w:tcPr>
          <w:p w:rsidR="00F11AEB" w:rsidRDefault="00F11AEB" w:rsidP="00B93B9C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Pagina Web</w:t>
            </w:r>
          </w:p>
        </w:tc>
        <w:tc>
          <w:tcPr>
            <w:tcW w:w="6858" w:type="dxa"/>
          </w:tcPr>
          <w:p w:rsidR="00F11AEB" w:rsidRDefault="00992C86" w:rsidP="00B93B9C">
            <w:pPr>
              <w:spacing w:before="60" w:after="60"/>
              <w:rPr>
                <w:b/>
                <w:sz w:val="26"/>
                <w:szCs w:val="26"/>
              </w:rPr>
            </w:pPr>
            <w:hyperlink r:id="rId6" w:history="1">
              <w:r w:rsidR="00F11AEB" w:rsidRPr="00693C5C">
                <w:rPr>
                  <w:rStyle w:val="Hyperlink"/>
                  <w:b/>
                  <w:sz w:val="26"/>
                  <w:szCs w:val="26"/>
                </w:rPr>
                <w:t>http://upm.ro/sereniti/</w:t>
              </w:r>
            </w:hyperlink>
            <w:r w:rsidR="00F11AE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93B9C" w:rsidRDefault="00B93B9C" w:rsidP="005575EA">
      <w:pPr>
        <w:rPr>
          <w:b/>
          <w:sz w:val="28"/>
          <w:szCs w:val="28"/>
        </w:rPr>
      </w:pPr>
    </w:p>
    <w:p w:rsidR="005575EA" w:rsidRPr="00B93B9C" w:rsidRDefault="00B93B9C" w:rsidP="005575EA">
      <w:pPr>
        <w:rPr>
          <w:b/>
          <w:sz w:val="28"/>
          <w:szCs w:val="28"/>
        </w:rPr>
      </w:pPr>
      <w:r w:rsidRPr="00B93B9C">
        <w:rPr>
          <w:b/>
          <w:sz w:val="28"/>
          <w:szCs w:val="28"/>
        </w:rPr>
        <w:t>Scurt rezumat</w:t>
      </w:r>
    </w:p>
    <w:p w:rsidR="0096544C" w:rsidRDefault="00F11AEB" w:rsidP="00B93B9C">
      <w:pPr>
        <w:jc w:val="both"/>
        <w:rPr>
          <w:sz w:val="24"/>
          <w:szCs w:val="24"/>
        </w:rPr>
      </w:pPr>
      <w:r w:rsidRPr="00F11AEB">
        <w:rPr>
          <w:sz w:val="24"/>
          <w:szCs w:val="24"/>
        </w:rPr>
        <w:t xml:space="preserve">Conform directivei 114 </w:t>
      </w:r>
      <w:r>
        <w:rPr>
          <w:sz w:val="24"/>
          <w:szCs w:val="24"/>
        </w:rPr>
        <w:t>din 2008 a Comisiei Europene</w:t>
      </w:r>
      <w:r w:rsidRPr="00F11AEB">
        <w:rPr>
          <w:sz w:val="24"/>
          <w:szCs w:val="24"/>
        </w:rPr>
        <w:t>, sistemele de energie (gaze naturale, electricitate, petrol) sunt considerate ca fiind infrastructuri critice. Aceste infrastructuri asigură funcționarea normală a societății noastre și în consecință, protejarea lor în fața atacurilor cibe</w:t>
      </w:r>
      <w:r>
        <w:rPr>
          <w:sz w:val="24"/>
          <w:szCs w:val="24"/>
        </w:rPr>
        <w:t>rnetice tot mai frecvente</w:t>
      </w:r>
      <w:r w:rsidRPr="00F11AEB">
        <w:rPr>
          <w:sz w:val="24"/>
          <w:szCs w:val="24"/>
        </w:rPr>
        <w:t xml:space="preserve"> reprezintă o problemă de securitate atât Europeană cât și națională.</w:t>
      </w:r>
      <w:r w:rsidR="0096544C">
        <w:rPr>
          <w:sz w:val="24"/>
          <w:szCs w:val="24"/>
        </w:rPr>
        <w:t xml:space="preserve"> </w:t>
      </w:r>
      <w:r w:rsidR="0096544C" w:rsidRPr="0096544C">
        <w:rPr>
          <w:sz w:val="24"/>
          <w:szCs w:val="24"/>
        </w:rPr>
        <w:t xml:space="preserve">Proiectul intitulat </w:t>
      </w:r>
      <w:r w:rsidR="0096544C">
        <w:rPr>
          <w:sz w:val="24"/>
          <w:szCs w:val="24"/>
        </w:rPr>
        <w:t xml:space="preserve">Cyber Security and Resilience of Networked Critical Infrastructures (SERENITI) </w:t>
      </w:r>
      <w:r w:rsidR="0096544C" w:rsidRPr="0096544C">
        <w:rPr>
          <w:sz w:val="24"/>
          <w:szCs w:val="24"/>
        </w:rPr>
        <w:t xml:space="preserve">își propune să elaboreze soluții inovative pentru </w:t>
      </w:r>
      <w:r w:rsidR="0096544C">
        <w:rPr>
          <w:sz w:val="24"/>
          <w:szCs w:val="24"/>
        </w:rPr>
        <w:t xml:space="preserve">proiectarea infrastructurilor critice </w:t>
      </w:r>
      <w:r w:rsidR="00277AC4">
        <w:rPr>
          <w:sz w:val="24"/>
          <w:szCs w:val="24"/>
        </w:rPr>
        <w:t xml:space="preserve">(IC) </w:t>
      </w:r>
      <w:r w:rsidR="0096544C">
        <w:rPr>
          <w:sz w:val="24"/>
          <w:szCs w:val="24"/>
        </w:rPr>
        <w:t>cu cerin</w:t>
      </w:r>
      <w:r w:rsidR="0096544C">
        <w:rPr>
          <w:sz w:val="24"/>
          <w:szCs w:val="24"/>
          <w:lang w:val="ro-RO"/>
        </w:rPr>
        <w:t>ț</w:t>
      </w:r>
      <w:r w:rsidR="0096544C">
        <w:rPr>
          <w:sz w:val="24"/>
          <w:szCs w:val="24"/>
        </w:rPr>
        <w:t>e de securitate și reziliență.</w:t>
      </w:r>
      <w:r w:rsidR="00277AC4">
        <w:rPr>
          <w:sz w:val="24"/>
          <w:szCs w:val="24"/>
        </w:rPr>
        <w:t xml:space="preserve"> </w:t>
      </w:r>
      <w:r w:rsidR="00277AC4" w:rsidRPr="00277AC4">
        <w:rPr>
          <w:sz w:val="24"/>
          <w:szCs w:val="24"/>
        </w:rPr>
        <w:t>Noutatea proiectului constă în îmbinarea dimensiunii fizice a IC cu dimensiunea cibernetică, un aspect ce lipsește cu precădere din metodele existente. Proiectul va duce la dezvoltarea unor metode avansate de protejare a IC, la dezvoltarea sistemelor noi de detectare a anomaliilor și intrușilor.</w:t>
      </w:r>
      <w:r w:rsidR="00277AC4">
        <w:rPr>
          <w:sz w:val="24"/>
          <w:szCs w:val="24"/>
        </w:rPr>
        <w:t xml:space="preserve"> </w:t>
      </w:r>
      <w:r w:rsidR="00277AC4" w:rsidRPr="00277AC4">
        <w:rPr>
          <w:sz w:val="24"/>
          <w:szCs w:val="24"/>
        </w:rPr>
        <w:t>Proiectul se încadrează în contextul descris de politicile Europene “European Programme for Critical Infrastructure Protection” (EPCIP), planul de acțiune “Critical Information Infrastructure Protection” (CIIP) și “Digital Agenda for Europe” (DAE).</w:t>
      </w:r>
    </w:p>
    <w:p w:rsidR="0096544C" w:rsidRDefault="00277AC4" w:rsidP="00B93B9C">
      <w:pPr>
        <w:jc w:val="both"/>
        <w:rPr>
          <w:sz w:val="24"/>
          <w:szCs w:val="24"/>
        </w:rPr>
      </w:pPr>
      <w:r>
        <w:rPr>
          <w:sz w:val="24"/>
          <w:szCs w:val="24"/>
        </w:rPr>
        <w:t>Proiectul adresează o serie de goluri din literatura de specialitate incluzând:</w:t>
      </w:r>
    </w:p>
    <w:p w:rsidR="00277AC4" w:rsidRDefault="00277AC4" w:rsidP="00277AC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Metode inovative pentru proiectarea IC cu cerințe de securitate și reziliență.</w:t>
      </w:r>
    </w:p>
    <w:p w:rsidR="00277AC4" w:rsidRDefault="00277AC4" w:rsidP="00277AC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sistem distribuit pentru detectarea intrușilor care fuzionează dimensiunea cibernetică de dimensiunea fizică a acestor infrastructuri.</w:t>
      </w:r>
    </w:p>
    <w:p w:rsidR="00277AC4" w:rsidRPr="00277AC4" w:rsidRDefault="00277AC4" w:rsidP="00277AC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nouă metodă de proiectare a rețelelor de detectare a intrușilor pentru IC.</w:t>
      </w:r>
    </w:p>
    <w:p w:rsidR="00277AC4" w:rsidRDefault="00277AC4" w:rsidP="00B93B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Desfășurarea proiectului este structurată pe </w:t>
      </w:r>
      <w:r w:rsidRPr="00277AC4">
        <w:rPr>
          <w:sz w:val="24"/>
          <w:szCs w:val="24"/>
          <w:u w:val="single"/>
        </w:rPr>
        <w:t>două faze</w:t>
      </w:r>
      <w:r>
        <w:rPr>
          <w:sz w:val="24"/>
          <w:szCs w:val="24"/>
        </w:rPr>
        <w:t>:</w:t>
      </w:r>
    </w:p>
    <w:p w:rsidR="00277AC4" w:rsidRDefault="00277AC4" w:rsidP="00B93B9C">
      <w:pPr>
        <w:jc w:val="both"/>
        <w:rPr>
          <w:sz w:val="24"/>
          <w:szCs w:val="24"/>
        </w:rPr>
      </w:pPr>
      <w:r w:rsidRPr="00277AC4">
        <w:rPr>
          <w:sz w:val="24"/>
          <w:szCs w:val="24"/>
          <w:u w:val="single"/>
        </w:rPr>
        <w:t>Faza 1</w:t>
      </w:r>
      <w:r>
        <w:rPr>
          <w:sz w:val="24"/>
          <w:szCs w:val="24"/>
        </w:rPr>
        <w:t>: Martie 2014 – Februarie 2016: elaborarea de metode pentru proiectarea rețelelor de comunicație a IC cu cerințe de securitate și reziliență. În această fază au fost dezvoltate metode matematice pentru proiectarea optimală a rețelelor IC incluzând cerințe specifice de securitate și reziliență conform standardelor industriale IEC/IEEE. Metodele au fost publicate într-o serie de publicații științifice de specialitate (conferințe și reviste), precum și softuri accesibile de pe pagina Web a proiectului.</w:t>
      </w:r>
    </w:p>
    <w:p w:rsidR="00277AC4" w:rsidRDefault="00277AC4" w:rsidP="00B93B9C">
      <w:pPr>
        <w:jc w:val="both"/>
        <w:rPr>
          <w:sz w:val="24"/>
          <w:szCs w:val="24"/>
        </w:rPr>
      </w:pPr>
      <w:r w:rsidRPr="00277AC4">
        <w:rPr>
          <w:sz w:val="24"/>
          <w:szCs w:val="24"/>
          <w:u w:val="single"/>
        </w:rPr>
        <w:t>Faza 2</w:t>
      </w:r>
      <w:r>
        <w:rPr>
          <w:sz w:val="24"/>
          <w:szCs w:val="24"/>
        </w:rPr>
        <w:t>: Martie 2016 – Februarie 2018: elaborarea de metode pentru detecția intrușilor și pentru proiectarea rețelelor de comunicație a sistemelor de acest tip. În această fază s-au elaborat metodele matematice (clustering, fuzionare a datelor) pentru detectarea anomaliilor în sistemele de comunicație ale IC, precum și metode de optimizare matematică pentru poziționarea optimală a acestor detectoare. Rezultatele au fost publicate într-o serie de conferințe și reviste de specialitate.</w:t>
      </w:r>
    </w:p>
    <w:p w:rsidR="00B37140" w:rsidRDefault="00B37140" w:rsidP="00B93B9C">
      <w:pPr>
        <w:jc w:val="both"/>
        <w:rPr>
          <w:sz w:val="24"/>
          <w:szCs w:val="24"/>
        </w:rPr>
      </w:pPr>
    </w:p>
    <w:p w:rsidR="00B37140" w:rsidRPr="0005570B" w:rsidRDefault="00B37140" w:rsidP="00B93B9C">
      <w:pPr>
        <w:jc w:val="both"/>
        <w:rPr>
          <w:b/>
          <w:sz w:val="24"/>
          <w:szCs w:val="24"/>
          <w:lang w:val="ro-RO"/>
        </w:rPr>
      </w:pPr>
      <w:r w:rsidRPr="0005570B">
        <w:rPr>
          <w:b/>
          <w:sz w:val="24"/>
          <w:szCs w:val="24"/>
        </w:rPr>
        <w:t>Indicatori realiza</w:t>
      </w:r>
      <w:r w:rsidRPr="0005570B">
        <w:rPr>
          <w:b/>
          <w:sz w:val="24"/>
          <w:szCs w:val="24"/>
          <w:lang w:val="ro-RO"/>
        </w:rPr>
        <w:t>ți</w:t>
      </w:r>
      <w:r w:rsidR="0025072F" w:rsidRPr="0005570B">
        <w:rPr>
          <w:b/>
          <w:sz w:val="24"/>
          <w:szCs w:val="24"/>
          <w:lang w:val="ro-RO"/>
        </w:rPr>
        <w:t xml:space="preserve"> până în </w:t>
      </w:r>
      <w:r w:rsidR="00277AC4" w:rsidRPr="0005570B">
        <w:rPr>
          <w:b/>
          <w:sz w:val="24"/>
          <w:szCs w:val="24"/>
          <w:lang w:val="ro-RO"/>
        </w:rPr>
        <w:t>Octombrie</w:t>
      </w:r>
      <w:r w:rsidR="0025072F" w:rsidRPr="0005570B">
        <w:rPr>
          <w:b/>
          <w:sz w:val="24"/>
          <w:szCs w:val="24"/>
          <w:lang w:val="ro-RO"/>
        </w:rPr>
        <w:t xml:space="preserve"> 201</w:t>
      </w:r>
      <w:r w:rsidR="00277AC4" w:rsidRPr="0005570B">
        <w:rPr>
          <w:b/>
          <w:sz w:val="24"/>
          <w:szCs w:val="24"/>
          <w:lang w:val="ro-RO"/>
        </w:rPr>
        <w:t>6</w:t>
      </w:r>
      <w:r w:rsidR="0005570B">
        <w:rPr>
          <w:b/>
          <w:sz w:val="24"/>
          <w:szCs w:val="24"/>
          <w:lang w:val="ro-RO"/>
        </w:rPr>
        <w:t>:</w:t>
      </w:r>
    </w:p>
    <w:p w:rsidR="00B37140" w:rsidRDefault="00B37140" w:rsidP="00B3714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B37140">
        <w:rPr>
          <w:sz w:val="24"/>
          <w:szCs w:val="24"/>
          <w:lang w:val="ro-RO"/>
        </w:rPr>
        <w:t>Publicații în Reviste ISI cu Factor de Impact</w:t>
      </w:r>
      <w:r w:rsidR="00277AC4">
        <w:rPr>
          <w:sz w:val="24"/>
          <w:szCs w:val="24"/>
          <w:lang w:val="ro-RO"/>
        </w:rPr>
        <w:t>:</w:t>
      </w:r>
    </w:p>
    <w:p w:rsidR="00FC2143" w:rsidRDefault="00FC2143" w:rsidP="00B37140">
      <w:pPr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 publicații în reviste ISI (</w:t>
      </w:r>
      <w:hyperlink r:id="rId7" w:history="1">
        <w:r w:rsidRPr="00693C5C">
          <w:rPr>
            <w:rStyle w:val="Hyperlink"/>
            <w:sz w:val="24"/>
            <w:szCs w:val="24"/>
            <w:lang w:val="ro-RO"/>
          </w:rPr>
          <w:t>http://upm.ro/sereniti/publications.html</w:t>
        </w:r>
      </w:hyperlink>
      <w:r>
        <w:rPr>
          <w:sz w:val="24"/>
          <w:szCs w:val="24"/>
          <w:lang w:val="ro-RO"/>
        </w:rPr>
        <w:t xml:space="preserve">) cu factor de impact (1 revistă </w:t>
      </w:r>
      <w:r w:rsidRPr="00FC2143">
        <w:rPr>
          <w:b/>
          <w:sz w:val="24"/>
          <w:szCs w:val="24"/>
          <w:lang w:val="ro-RO"/>
        </w:rPr>
        <w:t>ISI Roșu</w:t>
      </w:r>
      <w:r>
        <w:rPr>
          <w:sz w:val="24"/>
          <w:szCs w:val="24"/>
          <w:lang w:val="ro-RO"/>
        </w:rPr>
        <w:t xml:space="preserve"> FI = 2.114, 3 reviste </w:t>
      </w:r>
      <w:r w:rsidRPr="00FC2143">
        <w:rPr>
          <w:b/>
          <w:sz w:val="24"/>
          <w:szCs w:val="24"/>
          <w:lang w:val="ro-RO"/>
        </w:rPr>
        <w:t>ISI Galben</w:t>
      </w:r>
      <w:r>
        <w:rPr>
          <w:sz w:val="24"/>
          <w:szCs w:val="24"/>
          <w:lang w:val="ro-RO"/>
        </w:rPr>
        <w:t>, FI = 1.351).</w:t>
      </w:r>
    </w:p>
    <w:p w:rsidR="00B37140" w:rsidRDefault="00B37140" w:rsidP="00B3714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Publicații</w:t>
      </w:r>
      <w:r w:rsidR="0038544A">
        <w:rPr>
          <w:sz w:val="24"/>
          <w:szCs w:val="24"/>
          <w:lang w:val="ro-RO"/>
        </w:rPr>
        <w:t xml:space="preserve"> (principale)</w:t>
      </w:r>
      <w:r>
        <w:rPr>
          <w:sz w:val="24"/>
          <w:szCs w:val="24"/>
          <w:lang w:val="ro-RO"/>
        </w:rPr>
        <w:t xml:space="preserve"> în cadrul unor conferințe internaționale</w:t>
      </w:r>
      <w:r w:rsidR="0038544A">
        <w:rPr>
          <w:sz w:val="24"/>
          <w:szCs w:val="24"/>
          <w:lang w:val="ro-RO"/>
        </w:rPr>
        <w:t>:</w:t>
      </w:r>
    </w:p>
    <w:p w:rsidR="00D35D11" w:rsidRDefault="00D35D11" w:rsidP="0038544A">
      <w:pPr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Peste 10 articole publicate în conferințe de specialitate (</w:t>
      </w:r>
      <w:hyperlink r:id="rId8" w:history="1">
        <w:r w:rsidRPr="00693C5C">
          <w:rPr>
            <w:rStyle w:val="Hyperlink"/>
            <w:sz w:val="24"/>
            <w:szCs w:val="24"/>
            <w:lang w:val="ro-RO"/>
          </w:rPr>
          <w:t>http://upm.ro/sereniti/publications.html</w:t>
        </w:r>
      </w:hyperlink>
      <w:r>
        <w:rPr>
          <w:sz w:val="24"/>
          <w:szCs w:val="24"/>
          <w:lang w:val="ro-RO"/>
        </w:rPr>
        <w:t>):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CRITIS 2016: Paris, Franța.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SmartGift 2016: Liverpool, Marea Britanie.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IEEE/IFIP Networking 2016: Viena, Austria.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ISDFS 2014, ISDFS 2016: Houston, Texas, SUA.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INDIN 2015: Cambridge, Marea Britanie.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ICCIP 2015, 2016: Washington DC, SUA.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ADHOC-NOW, 2015: Athena, Grecia.</w:t>
      </w:r>
    </w:p>
    <w:p w:rsidR="00D35D11" w:rsidRDefault="00D35D11" w:rsidP="00D35D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EuroSec, 2014: Amsterdam, Olanda.</w:t>
      </w:r>
    </w:p>
    <w:p w:rsidR="00D35D11" w:rsidRDefault="00D35D11" w:rsidP="00D35D11">
      <w:pPr>
        <w:pStyle w:val="ListParagraph"/>
        <w:ind w:left="1440"/>
        <w:jc w:val="both"/>
        <w:rPr>
          <w:sz w:val="24"/>
          <w:szCs w:val="24"/>
          <w:lang w:val="ro-RO"/>
        </w:rPr>
      </w:pPr>
    </w:p>
    <w:p w:rsidR="00FC2143" w:rsidRDefault="00FC2143" w:rsidP="00D35D11">
      <w:pPr>
        <w:pStyle w:val="ListParagraph"/>
        <w:ind w:left="1440"/>
        <w:jc w:val="both"/>
        <w:rPr>
          <w:sz w:val="24"/>
          <w:szCs w:val="24"/>
          <w:lang w:val="ro-RO"/>
        </w:rPr>
      </w:pPr>
    </w:p>
    <w:p w:rsidR="00FC2143" w:rsidRPr="00D35D11" w:rsidRDefault="00FC2143" w:rsidP="00D35D11">
      <w:pPr>
        <w:pStyle w:val="ListParagraph"/>
        <w:ind w:left="1440"/>
        <w:jc w:val="both"/>
        <w:rPr>
          <w:sz w:val="24"/>
          <w:szCs w:val="24"/>
          <w:lang w:val="ro-RO"/>
        </w:rPr>
      </w:pPr>
    </w:p>
    <w:p w:rsidR="003B62FA" w:rsidRDefault="003B62FA" w:rsidP="006E6332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Premii:</w:t>
      </w:r>
    </w:p>
    <w:p w:rsidR="003B62FA" w:rsidRDefault="003B62FA" w:rsidP="003B62FA">
      <w:pPr>
        <w:pStyle w:val="ListParagraph"/>
        <w:contextualSpacing w:val="0"/>
        <w:jc w:val="both"/>
        <w:rPr>
          <w:sz w:val="24"/>
          <w:szCs w:val="24"/>
          <w:lang w:val="ro-RO"/>
        </w:rPr>
      </w:pPr>
      <w:r w:rsidRPr="003B62FA">
        <w:rPr>
          <w:b/>
          <w:sz w:val="24"/>
          <w:szCs w:val="24"/>
          <w:lang w:val="ro-RO"/>
        </w:rPr>
        <w:t>Best Paper Award</w:t>
      </w:r>
      <w:r>
        <w:rPr>
          <w:sz w:val="24"/>
          <w:szCs w:val="24"/>
          <w:lang w:val="ro-RO"/>
        </w:rPr>
        <w:t xml:space="preserve">: </w:t>
      </w:r>
      <w:r w:rsidRPr="003B62FA">
        <w:rPr>
          <w:sz w:val="24"/>
          <w:szCs w:val="24"/>
          <w:lang w:val="ro-RO"/>
        </w:rPr>
        <w:t>IEEE International Conference on Industrial Informatics, 22-24 July 2015, Cambridge, UK, 2015</w:t>
      </w:r>
      <w:r>
        <w:rPr>
          <w:sz w:val="24"/>
          <w:szCs w:val="24"/>
          <w:lang w:val="ro-RO"/>
        </w:rPr>
        <w:t xml:space="preserve"> (lucrarea: </w:t>
      </w:r>
      <w:r w:rsidRPr="003B62FA">
        <w:rPr>
          <w:i/>
          <w:sz w:val="24"/>
          <w:szCs w:val="24"/>
          <w:lang w:val="ro-RO"/>
        </w:rPr>
        <w:t>A Clustering-based Approach to Detect Cyber Attacks in Process Control Systems</w:t>
      </w:r>
      <w:r>
        <w:rPr>
          <w:sz w:val="24"/>
          <w:szCs w:val="24"/>
          <w:lang w:val="ro-RO"/>
        </w:rPr>
        <w:t>).</w:t>
      </w:r>
    </w:p>
    <w:p w:rsidR="003B62FA" w:rsidRDefault="003B62FA" w:rsidP="003B62FA">
      <w:pPr>
        <w:pStyle w:val="ListParagraph"/>
        <w:contextualSpacing w:val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IEEE Industrial Electronics Society (IES) 2015 Best Paper Award: </w:t>
      </w:r>
      <w:r w:rsidRPr="003B62FA">
        <w:rPr>
          <w:sz w:val="24"/>
          <w:szCs w:val="24"/>
          <w:lang w:val="ro-RO"/>
        </w:rPr>
        <w:t>Lu</w:t>
      </w:r>
      <w:r>
        <w:rPr>
          <w:sz w:val="24"/>
          <w:szCs w:val="24"/>
          <w:lang w:val="ro-RO"/>
        </w:rPr>
        <w:t xml:space="preserve">crarea </w:t>
      </w:r>
      <w:r w:rsidRPr="003B62FA">
        <w:rPr>
          <w:i/>
          <w:sz w:val="24"/>
          <w:szCs w:val="24"/>
        </w:rPr>
        <w:t>“</w:t>
      </w:r>
      <w:r w:rsidRPr="003B62FA">
        <w:rPr>
          <w:i/>
          <w:sz w:val="24"/>
          <w:szCs w:val="24"/>
          <w:lang w:val="ro-RO"/>
        </w:rPr>
        <w:t>A Clustering-based Approach to Detect Cyber Attacks in Process Control Systems”</w:t>
      </w:r>
      <w:r>
        <w:rPr>
          <w:i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 primit premiul pentru cea mai reprezentativă lucrare pe anul 2015 pentru </w:t>
      </w:r>
      <w:r w:rsidR="00D35D11">
        <w:rPr>
          <w:sz w:val="24"/>
          <w:szCs w:val="24"/>
          <w:lang w:val="ro-RO"/>
        </w:rPr>
        <w:t>toate conferințele organizate de IES în 2015.</w:t>
      </w:r>
    </w:p>
    <w:p w:rsidR="00D35D11" w:rsidRPr="00D35D11" w:rsidRDefault="00D35D11" w:rsidP="003B62FA">
      <w:pPr>
        <w:pStyle w:val="ListParagraph"/>
        <w:contextualSpacing w:val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Premiul I la Positive Hack Days (PHDays): </w:t>
      </w:r>
      <w:r>
        <w:rPr>
          <w:sz w:val="24"/>
          <w:szCs w:val="24"/>
          <w:lang w:val="ro-RO"/>
        </w:rPr>
        <w:t>Kiss Istv</w:t>
      </w:r>
      <w:r>
        <w:rPr>
          <w:sz w:val="24"/>
          <w:szCs w:val="24"/>
          <w:lang w:val="hu-HU"/>
        </w:rPr>
        <w:t xml:space="preserve">án (membru </w:t>
      </w:r>
      <w:r w:rsidR="00FC2143">
        <w:rPr>
          <w:sz w:val="24"/>
          <w:szCs w:val="24"/>
          <w:lang w:val="hu-HU"/>
        </w:rPr>
        <w:t xml:space="preserve">al </w:t>
      </w:r>
      <w:r>
        <w:rPr>
          <w:sz w:val="24"/>
          <w:szCs w:val="24"/>
          <w:lang w:val="hu-HU"/>
        </w:rPr>
        <w:t>proiect</w:t>
      </w:r>
      <w:r w:rsidR="00FC2143">
        <w:rPr>
          <w:sz w:val="24"/>
          <w:szCs w:val="24"/>
          <w:lang w:val="hu-HU"/>
        </w:rPr>
        <w:t>ului</w:t>
      </w:r>
      <w:r>
        <w:rPr>
          <w:sz w:val="24"/>
          <w:szCs w:val="24"/>
          <w:lang w:val="hu-HU"/>
        </w:rPr>
        <w:t>) a ob</w:t>
      </w:r>
      <w:r>
        <w:rPr>
          <w:sz w:val="24"/>
          <w:szCs w:val="24"/>
          <w:lang w:val="ro-RO"/>
        </w:rPr>
        <w:t>ținut premiul I la Positive Hack Days, Moscova (Mai 26-27, 2015) pentru prezentarea unui nou tip de atac.</w:t>
      </w:r>
    </w:p>
    <w:p w:rsidR="00D35D11" w:rsidRDefault="00D35D11" w:rsidP="00D35D11">
      <w:pPr>
        <w:pStyle w:val="ListParagraph"/>
        <w:spacing w:after="24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Premii UEFISCDI:</w:t>
      </w:r>
      <w:r>
        <w:rPr>
          <w:sz w:val="24"/>
          <w:szCs w:val="24"/>
          <w:lang w:val="ro-RO"/>
        </w:rPr>
        <w:t xml:space="preserve"> </w:t>
      </w:r>
      <w:r w:rsidR="00A03424">
        <w:rPr>
          <w:sz w:val="24"/>
          <w:szCs w:val="24"/>
          <w:lang w:val="ro-RO"/>
        </w:rPr>
        <w:t>două lucrări</w:t>
      </w:r>
      <w:r>
        <w:rPr>
          <w:sz w:val="24"/>
          <w:szCs w:val="24"/>
          <w:lang w:val="ro-RO"/>
        </w:rPr>
        <w:t xml:space="preserve"> premiate de UEFISCDI (premierea articolelor).</w:t>
      </w:r>
    </w:p>
    <w:p w:rsidR="00D35D11" w:rsidRPr="003B62FA" w:rsidRDefault="00D35D11" w:rsidP="00D35D11">
      <w:pPr>
        <w:pStyle w:val="ListParagraph"/>
        <w:spacing w:after="240"/>
        <w:jc w:val="both"/>
        <w:rPr>
          <w:sz w:val="24"/>
          <w:szCs w:val="24"/>
          <w:lang w:val="ro-RO"/>
        </w:rPr>
      </w:pPr>
    </w:p>
    <w:p w:rsidR="00B37140" w:rsidRDefault="006E6332" w:rsidP="006E6332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Dezvoltarea de instrumente software</w:t>
      </w:r>
      <w:r w:rsidR="003B62FA">
        <w:rPr>
          <w:sz w:val="24"/>
          <w:szCs w:val="24"/>
          <w:lang w:val="ro-RO"/>
        </w:rPr>
        <w:t>:</w:t>
      </w:r>
    </w:p>
    <w:p w:rsidR="003B62FA" w:rsidRDefault="003B62FA" w:rsidP="006E6332">
      <w:pPr>
        <w:pStyle w:val="ListParagraph"/>
        <w:contextualSpacing w:val="0"/>
        <w:jc w:val="both"/>
        <w:rPr>
          <w:sz w:val="24"/>
          <w:szCs w:val="24"/>
          <w:lang w:val="ro-RO"/>
        </w:rPr>
      </w:pPr>
      <w:r w:rsidRPr="003B62FA">
        <w:rPr>
          <w:b/>
          <w:sz w:val="24"/>
          <w:szCs w:val="24"/>
          <w:lang w:val="ro-RO"/>
        </w:rPr>
        <w:t>Cyber-security-aware network design tool-suite for Networked Critical Infrastructures</w:t>
      </w:r>
      <w:r>
        <w:rPr>
          <w:sz w:val="24"/>
          <w:szCs w:val="24"/>
          <w:lang w:val="ro-RO"/>
        </w:rPr>
        <w:t xml:space="preserve">. Disponibil on-line: </w:t>
      </w:r>
      <w:hyperlink r:id="rId9" w:history="1">
        <w:r w:rsidRPr="00693C5C">
          <w:rPr>
            <w:rStyle w:val="Hyperlink"/>
            <w:sz w:val="24"/>
            <w:szCs w:val="24"/>
            <w:lang w:val="ro-RO"/>
          </w:rPr>
          <w:t>http://upm.ro/sereniti/netdesign.html</w:t>
        </w:r>
      </w:hyperlink>
      <w:r>
        <w:rPr>
          <w:sz w:val="24"/>
          <w:szCs w:val="24"/>
          <w:lang w:val="ro-RO"/>
        </w:rPr>
        <w:t xml:space="preserve"> </w:t>
      </w:r>
    </w:p>
    <w:p w:rsidR="003B62FA" w:rsidRPr="003B62FA" w:rsidRDefault="003B62FA" w:rsidP="00D058CE">
      <w:pPr>
        <w:pStyle w:val="ListParagraph"/>
        <w:contextualSpacing w:val="0"/>
        <w:jc w:val="both"/>
        <w:rPr>
          <w:sz w:val="24"/>
          <w:szCs w:val="24"/>
          <w:lang w:val="ro-RO"/>
        </w:rPr>
      </w:pPr>
      <w:r w:rsidRPr="003B62FA">
        <w:rPr>
          <w:b/>
          <w:sz w:val="24"/>
          <w:szCs w:val="24"/>
          <w:lang w:val="ro-RO"/>
        </w:rPr>
        <w:t>OptimalFlow: A Hierarchical Control Plane for Software-Defined Networks-based Industrial Control Systems</w:t>
      </w:r>
      <w:r>
        <w:rPr>
          <w:b/>
          <w:sz w:val="24"/>
          <w:szCs w:val="24"/>
          <w:lang w:val="ro-RO"/>
        </w:rPr>
        <w:t xml:space="preserve">. </w:t>
      </w:r>
      <w:r w:rsidRPr="003B62F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isponibil on-line: </w:t>
      </w:r>
      <w:hyperlink r:id="rId10" w:history="1">
        <w:r w:rsidRPr="00693C5C">
          <w:rPr>
            <w:rStyle w:val="Hyperlink"/>
            <w:sz w:val="24"/>
            <w:szCs w:val="24"/>
            <w:lang w:val="ro-RO"/>
          </w:rPr>
          <w:t>http://upm.ro/sereniti/optimalflow.html</w:t>
        </w:r>
      </w:hyperlink>
      <w:r>
        <w:rPr>
          <w:sz w:val="24"/>
          <w:szCs w:val="24"/>
          <w:lang w:val="ro-RO"/>
        </w:rPr>
        <w:t xml:space="preserve"> </w:t>
      </w:r>
    </w:p>
    <w:p w:rsidR="00D645B7" w:rsidRDefault="00D645B7" w:rsidP="00B93B9C">
      <w:pPr>
        <w:jc w:val="both"/>
        <w:rPr>
          <w:sz w:val="24"/>
          <w:szCs w:val="24"/>
        </w:rPr>
      </w:pPr>
    </w:p>
    <w:sectPr w:rsidR="00D645B7" w:rsidSect="00D0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3BA"/>
    <w:multiLevelType w:val="hybridMultilevel"/>
    <w:tmpl w:val="250E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A0C"/>
    <w:multiLevelType w:val="hybridMultilevel"/>
    <w:tmpl w:val="C04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E3C"/>
    <w:multiLevelType w:val="hybridMultilevel"/>
    <w:tmpl w:val="1898D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A64F2"/>
    <w:multiLevelType w:val="hybridMultilevel"/>
    <w:tmpl w:val="19461B70"/>
    <w:lvl w:ilvl="0" w:tplc="D0F03F98">
      <w:start w:val="3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596D"/>
    <w:multiLevelType w:val="hybridMultilevel"/>
    <w:tmpl w:val="B192B7B8"/>
    <w:lvl w:ilvl="0" w:tplc="13749488">
      <w:start w:val="3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5EA"/>
    <w:rsid w:val="0005570B"/>
    <w:rsid w:val="00090B83"/>
    <w:rsid w:val="000B49DD"/>
    <w:rsid w:val="000E5C7F"/>
    <w:rsid w:val="001231DB"/>
    <w:rsid w:val="00185094"/>
    <w:rsid w:val="001B7427"/>
    <w:rsid w:val="0025072F"/>
    <w:rsid w:val="00277AC4"/>
    <w:rsid w:val="002C4C56"/>
    <w:rsid w:val="0038544A"/>
    <w:rsid w:val="003B62FA"/>
    <w:rsid w:val="003E3ECC"/>
    <w:rsid w:val="003E4BC3"/>
    <w:rsid w:val="005575EA"/>
    <w:rsid w:val="005900FB"/>
    <w:rsid w:val="006E6332"/>
    <w:rsid w:val="00717FC9"/>
    <w:rsid w:val="0075642F"/>
    <w:rsid w:val="00854AA8"/>
    <w:rsid w:val="008E7F77"/>
    <w:rsid w:val="0096544C"/>
    <w:rsid w:val="00992C86"/>
    <w:rsid w:val="00A03424"/>
    <w:rsid w:val="00AD70DF"/>
    <w:rsid w:val="00B37140"/>
    <w:rsid w:val="00B93B9C"/>
    <w:rsid w:val="00C64DEC"/>
    <w:rsid w:val="00C86B76"/>
    <w:rsid w:val="00CC5B78"/>
    <w:rsid w:val="00D058CE"/>
    <w:rsid w:val="00D35D11"/>
    <w:rsid w:val="00D645B7"/>
    <w:rsid w:val="00F11AEB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7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m.ro/sereniti/publicatio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upm.ro/sereniti/publication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m.ro/serenit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pm.ro/sereniti/optimalfl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m.ro/sereniti/netdesig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3A6B0-4C22-4E26-B64D-09DE3CEC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</dc:creator>
  <cp:lastModifiedBy>daniela.marcu2</cp:lastModifiedBy>
  <cp:revision>2</cp:revision>
  <cp:lastPrinted>2014-03-05T07:21:00Z</cp:lastPrinted>
  <dcterms:created xsi:type="dcterms:W3CDTF">2016-11-01T10:10:00Z</dcterms:created>
  <dcterms:modified xsi:type="dcterms:W3CDTF">2016-11-01T10:10:00Z</dcterms:modified>
</cp:coreProperties>
</file>